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青岛特钢东厂区海域回填</w:t>
      </w:r>
    </w:p>
    <w:p>
      <w:pPr>
        <w:spacing w:line="440" w:lineRule="exact"/>
        <w:jc w:val="center"/>
        <w:rPr>
          <w:rFonts w:hint="eastAsia" w:ascii="宋体" w:hAnsi="宋体" w:eastAsia="宋体" w:cs="宋体"/>
          <w:b/>
          <w:sz w:val="28"/>
          <w:szCs w:val="28"/>
        </w:rPr>
      </w:pPr>
      <w:r>
        <w:rPr>
          <w:rFonts w:hint="eastAsia" w:ascii="宋体" w:hAnsi="宋体" w:eastAsia="宋体" w:cs="宋体"/>
          <w:b/>
          <w:sz w:val="28"/>
          <w:szCs w:val="28"/>
        </w:rPr>
        <w:t>技术协议</w:t>
      </w:r>
    </w:p>
    <w:p>
      <w:pPr>
        <w:pStyle w:val="3"/>
        <w:rPr>
          <w:rFonts w:hint="eastAsia"/>
          <w:color w:val="auto"/>
          <w:sz w:val="21"/>
          <w:szCs w:val="21"/>
          <w:highlight w:val="none"/>
        </w:rPr>
      </w:pPr>
      <w:r>
        <w:rPr>
          <w:rFonts w:hint="eastAsia"/>
          <w:color w:val="auto"/>
          <w:sz w:val="21"/>
          <w:szCs w:val="21"/>
          <w:highlight w:val="none"/>
          <w:lang w:val="en-US" w:eastAsia="zh-CN"/>
        </w:rPr>
        <w:t>招标人</w:t>
      </w:r>
      <w:r>
        <w:rPr>
          <w:rFonts w:hint="eastAsia"/>
          <w:color w:val="auto"/>
          <w:sz w:val="21"/>
          <w:szCs w:val="21"/>
          <w:highlight w:val="none"/>
        </w:rPr>
        <w:t>：青岛特殊钢铁有限公司 （甲方）</w:t>
      </w:r>
    </w:p>
    <w:p>
      <w:pPr>
        <w:pStyle w:val="3"/>
        <w:rPr>
          <w:rFonts w:hint="eastAsia"/>
          <w:color w:val="auto"/>
          <w:sz w:val="21"/>
          <w:szCs w:val="21"/>
          <w:highlight w:val="none"/>
        </w:rPr>
      </w:pPr>
      <w:r>
        <w:rPr>
          <w:rFonts w:hint="eastAsia"/>
          <w:color w:val="auto"/>
          <w:sz w:val="21"/>
          <w:szCs w:val="21"/>
          <w:highlight w:val="none"/>
        </w:rPr>
        <w:t xml:space="preserve">投标人：                   </w:t>
      </w:r>
      <w:r>
        <w:rPr>
          <w:rFonts w:hint="eastAsia"/>
          <w:color w:val="auto"/>
          <w:sz w:val="21"/>
          <w:szCs w:val="21"/>
          <w:highlight w:val="none"/>
          <w:lang w:val="en-US" w:eastAsia="zh-CN"/>
        </w:rPr>
        <w:t xml:space="preserve">  </w:t>
      </w:r>
      <w:r>
        <w:rPr>
          <w:rFonts w:hint="eastAsia"/>
          <w:color w:val="auto"/>
          <w:sz w:val="21"/>
          <w:szCs w:val="21"/>
          <w:highlight w:val="none"/>
        </w:rPr>
        <w:t>（乙方）</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招标人、投标人双方就</w:t>
      </w:r>
      <w:r>
        <w:rPr>
          <w:rFonts w:hint="eastAsia" w:ascii="宋体" w:hAnsi="宋体" w:cs="宋体"/>
          <w:kern w:val="0"/>
          <w:szCs w:val="21"/>
          <w:lang w:val="en-US" w:eastAsia="zh-CN"/>
        </w:rPr>
        <w:t>青岛特钢东厂区海域回填</w:t>
      </w:r>
      <w:r>
        <w:rPr>
          <w:rFonts w:hint="eastAsia" w:ascii="宋体" w:hAnsi="宋体" w:eastAsia="宋体" w:cs="宋体"/>
          <w:sz w:val="21"/>
          <w:szCs w:val="21"/>
        </w:rPr>
        <w:t>（以下简称：本工程）的技术要求、质量要求、施工要求等事宜进行认真讨论，经友好协商，取得一致意见，达成如下协议条款：</w:t>
      </w:r>
    </w:p>
    <w:p>
      <w:pPr>
        <w:spacing w:line="440" w:lineRule="exact"/>
        <w:jc w:val="left"/>
        <w:rPr>
          <w:rFonts w:hint="eastAsia" w:ascii="宋体" w:hAnsi="宋体" w:eastAsia="宋体" w:cs="宋体"/>
          <w:b/>
          <w:sz w:val="21"/>
          <w:szCs w:val="21"/>
        </w:rPr>
      </w:pPr>
      <w:r>
        <w:rPr>
          <w:rFonts w:hint="eastAsia" w:ascii="宋体" w:hAnsi="宋体" w:eastAsia="宋体" w:cs="宋体"/>
          <w:b/>
          <w:sz w:val="21"/>
          <w:szCs w:val="21"/>
        </w:rPr>
        <w:t>一、项目概况</w:t>
      </w:r>
    </w:p>
    <w:p>
      <w:pPr>
        <w:tabs>
          <w:tab w:val="left" w:pos="900"/>
        </w:tabs>
        <w:spacing w:line="360" w:lineRule="auto"/>
        <w:ind w:firstLine="420" w:firstLineChars="200"/>
        <w:rPr>
          <w:rFonts w:hint="eastAsia" w:ascii="宋体" w:hAnsi="宋体" w:eastAsia="宋体" w:cs="宋体"/>
          <w:kern w:val="0"/>
          <w:sz w:val="21"/>
          <w:szCs w:val="21"/>
        </w:rPr>
      </w:pPr>
      <w:bookmarkStart w:id="0" w:name="_Toc499711417"/>
      <w:r>
        <w:rPr>
          <w:rFonts w:hint="eastAsia" w:ascii="宋体" w:hAnsi="宋体" w:eastAsia="宋体" w:cs="宋体"/>
          <w:kern w:val="0"/>
          <w:sz w:val="21"/>
          <w:szCs w:val="21"/>
        </w:rPr>
        <w:t>项目名称：</w:t>
      </w:r>
      <w:r>
        <w:rPr>
          <w:rFonts w:hint="eastAsia" w:ascii="宋体" w:hAnsi="宋体" w:cs="宋体"/>
          <w:kern w:val="0"/>
          <w:szCs w:val="21"/>
          <w:lang w:val="en-US" w:eastAsia="zh-CN"/>
        </w:rPr>
        <w:t>青岛特钢东厂区海域回填</w:t>
      </w:r>
    </w:p>
    <w:p>
      <w:pPr>
        <w:tabs>
          <w:tab w:val="left" w:pos="900"/>
        </w:tabs>
        <w:spacing w:line="360" w:lineRule="auto"/>
        <w:ind w:firstLine="420" w:firstLineChars="200"/>
        <w:rPr>
          <w:rFonts w:hint="eastAsia" w:ascii="宋体" w:hAnsi="宋体" w:eastAsia="宋体" w:cs="宋体"/>
          <w:kern w:val="0"/>
          <w:sz w:val="21"/>
          <w:szCs w:val="21"/>
          <w:u w:val="single"/>
        </w:rPr>
      </w:pPr>
      <w:r>
        <w:rPr>
          <w:rFonts w:hint="eastAsia" w:ascii="宋体" w:hAnsi="宋体" w:eastAsia="宋体" w:cs="宋体"/>
          <w:kern w:val="0"/>
          <w:sz w:val="21"/>
          <w:szCs w:val="21"/>
        </w:rPr>
        <w:t>工程地点：</w:t>
      </w:r>
      <w:r>
        <w:rPr>
          <w:rFonts w:hint="eastAsia" w:ascii="宋体" w:hAnsi="宋体" w:eastAsia="宋体" w:cs="宋体"/>
          <w:kern w:val="0"/>
          <w:sz w:val="21"/>
          <w:szCs w:val="21"/>
          <w:u w:val="single"/>
        </w:rPr>
        <w:t>山东省青岛市黄岛区泊里镇集成路1886号</w:t>
      </w:r>
    </w:p>
    <w:p>
      <w:pPr>
        <w:tabs>
          <w:tab w:val="left" w:pos="900"/>
        </w:tabs>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kern w:val="0"/>
          <w:sz w:val="21"/>
          <w:szCs w:val="21"/>
        </w:rPr>
        <w:t>工程范围：</w:t>
      </w:r>
      <w:bookmarkEnd w:id="0"/>
      <w:r>
        <w:rPr>
          <w:rFonts w:hint="eastAsia" w:ascii="宋体" w:hAnsi="宋体" w:cs="宋体"/>
          <w:sz w:val="21"/>
          <w:szCs w:val="21"/>
          <w:lang w:val="en-US" w:eastAsia="zh-CN"/>
        </w:rPr>
        <w:t>本工程为</w:t>
      </w:r>
      <w:r>
        <w:rPr>
          <w:rFonts w:hint="eastAsia" w:ascii="宋体" w:hAnsi="宋体" w:cs="宋体"/>
          <w:kern w:val="0"/>
          <w:szCs w:val="21"/>
          <w:lang w:val="en-US" w:eastAsia="zh-CN"/>
        </w:rPr>
        <w:t>青岛特钢东厂区海域回填</w:t>
      </w:r>
      <w:r>
        <w:rPr>
          <w:rFonts w:hint="eastAsia" w:ascii="宋体" w:hAnsi="宋体" w:cs="宋体"/>
          <w:sz w:val="21"/>
          <w:szCs w:val="21"/>
          <w:lang w:val="en-US" w:eastAsia="zh-CN"/>
        </w:rPr>
        <w:t>，包括但不限于东厂区南侧海域回填平整。</w:t>
      </w:r>
      <w:r>
        <w:rPr>
          <w:rFonts w:hint="eastAsia" w:ascii="宋体" w:hAnsi="宋体" w:cs="宋体"/>
          <w:kern w:val="0"/>
          <w:szCs w:val="21"/>
          <w:lang w:val="en-US" w:eastAsia="zh-CN"/>
        </w:rPr>
        <w:t>回填土方优先使用青特钢东厂区堆放余土，不够部分从西厂区纬四路以南、经三路以西甲方指定区域拉土方。整平后要求达到3.6米绝对标高，并覆盖密目网。</w:t>
      </w:r>
      <w:r>
        <w:rPr>
          <w:rFonts w:hint="eastAsia" w:ascii="宋体" w:hAnsi="宋体" w:cs="宋体"/>
          <w:sz w:val="21"/>
          <w:szCs w:val="21"/>
          <w:lang w:val="en-US" w:eastAsia="zh-CN"/>
        </w:rPr>
        <w:t>招标回填范围详见招标提供的图纸、图片，招标提供的标高仅供参考，具体工程量由乙方自行测量复核，总价包干，不予调整。</w:t>
      </w:r>
    </w:p>
    <w:p>
      <w:pPr>
        <w:numPr>
          <w:ilvl w:val="0"/>
          <w:numId w:val="1"/>
        </w:numPr>
        <w:adjustRightInd w:val="0"/>
        <w:snapToGrid w:val="0"/>
        <w:spacing w:line="480" w:lineRule="exact"/>
        <w:jc w:val="left"/>
        <w:rPr>
          <w:rFonts w:hint="eastAsia" w:ascii="宋体" w:hAnsi="宋体" w:eastAsia="宋体" w:cs="宋体"/>
          <w:b/>
          <w:kern w:val="0"/>
          <w:sz w:val="21"/>
          <w:szCs w:val="21"/>
        </w:rPr>
      </w:pPr>
      <w:r>
        <w:rPr>
          <w:rFonts w:hint="eastAsia" w:ascii="宋体" w:hAnsi="宋体" w:eastAsia="宋体" w:cs="宋体"/>
          <w:b/>
          <w:kern w:val="0"/>
          <w:sz w:val="21"/>
          <w:szCs w:val="21"/>
        </w:rPr>
        <w:t>技术要求</w:t>
      </w:r>
    </w:p>
    <w:p>
      <w:pPr>
        <w:numPr>
          <w:ilvl w:val="0"/>
          <w:numId w:val="2"/>
        </w:numPr>
        <w:spacing w:line="460" w:lineRule="exact"/>
        <w:ind w:left="0"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取土点位于东厂区东侧，及</w:t>
      </w:r>
      <w:r>
        <w:rPr>
          <w:rFonts w:hint="eastAsia" w:ascii="宋体" w:hAnsi="宋体" w:cs="宋体"/>
          <w:sz w:val="21"/>
          <w:szCs w:val="21"/>
          <w:lang w:val="en-US" w:eastAsia="zh-CN"/>
        </w:rPr>
        <w:t>西厂区纬四路以南、经三路以西甲方指定区域</w:t>
      </w:r>
      <w:r>
        <w:rPr>
          <w:rFonts w:hint="eastAsia" w:ascii="宋体" w:hAnsi="宋体" w:cs="宋体"/>
          <w:color w:val="auto"/>
          <w:sz w:val="21"/>
          <w:szCs w:val="21"/>
          <w:lang w:val="en-US" w:eastAsia="zh-CN"/>
        </w:rPr>
        <w:t>，由乙方装车运至甲方指定回填海域位置；</w:t>
      </w:r>
    </w:p>
    <w:p>
      <w:pPr>
        <w:pStyle w:val="2"/>
        <w:numPr>
          <w:ilvl w:val="0"/>
          <w:numId w:val="2"/>
        </w:numPr>
        <w:ind w:left="0"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优先使用东厂区余土，不够部分从西厂区指定区域拉运，回填区域要求达到3.6米绝对标高，</w:t>
      </w:r>
      <w:r>
        <w:rPr>
          <w:rFonts w:hint="eastAsia" w:ascii="宋体" w:hAnsi="宋体" w:eastAsia="宋体" w:cs="宋体"/>
          <w:kern w:val="0"/>
          <w:sz w:val="21"/>
          <w:szCs w:val="21"/>
          <w:lang w:val="en-US" w:eastAsia="zh-CN" w:bidi="ar-SA"/>
        </w:rPr>
        <w:t>并覆盖密目网</w:t>
      </w:r>
      <w:r>
        <w:rPr>
          <w:rFonts w:hint="eastAsia" w:ascii="宋体" w:hAnsi="宋体" w:cs="宋体"/>
          <w:color w:val="auto"/>
          <w:sz w:val="21"/>
          <w:szCs w:val="21"/>
          <w:lang w:val="en-US" w:eastAsia="zh-CN"/>
        </w:rPr>
        <w:t>。</w:t>
      </w:r>
    </w:p>
    <w:p>
      <w:pPr>
        <w:pStyle w:val="2"/>
        <w:numPr>
          <w:ilvl w:val="0"/>
          <w:numId w:val="2"/>
        </w:numPr>
        <w:ind w:left="0" w:leftChars="0"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厂区海域回填后需对东南侧现有排水沟进行疏通，过马路部位下3排长10米，直径为600mm的钢筋混凝土排水管，道路整平。</w:t>
      </w:r>
    </w:p>
    <w:p>
      <w:pPr>
        <w:pStyle w:val="2"/>
        <w:numPr>
          <w:ilvl w:val="0"/>
          <w:numId w:val="0"/>
        </w:numPr>
        <w:ind w:left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4、东厂海域土方回填平整后均需覆盖密目网，覆盖后固定，一年内发生大面积破损或掀起中标单位24小时内进行修复；</w:t>
      </w:r>
    </w:p>
    <w:p>
      <w:pPr>
        <w:pStyle w:val="2"/>
        <w:numPr>
          <w:ilvl w:val="0"/>
          <w:numId w:val="0"/>
        </w:numPr>
        <w:ind w:leftChars="20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5、所有施工所需机械、临时道路整修、扬尘洒水等均由投乙方负责。</w:t>
      </w:r>
    </w:p>
    <w:p>
      <w:pPr>
        <w:numPr>
          <w:ilvl w:val="0"/>
          <w:numId w:val="0"/>
        </w:numPr>
        <w:spacing w:line="460" w:lineRule="exact"/>
        <w:ind w:left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工程施工必须严格遵守下列规范</w:t>
      </w:r>
    </w:p>
    <w:p>
      <w:pPr>
        <w:spacing w:line="50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建设工程质量管理条例</w:t>
      </w:r>
    </w:p>
    <w:p>
      <w:pPr>
        <w:spacing w:line="500" w:lineRule="exact"/>
        <w:ind w:firstLine="480"/>
        <w:rPr>
          <w:rFonts w:hint="eastAsia" w:ascii="宋体" w:hAnsi="宋体" w:eastAsia="宋体" w:cs="宋体"/>
          <w:sz w:val="21"/>
          <w:szCs w:val="21"/>
        </w:rPr>
      </w:pPr>
      <w:r>
        <w:rPr>
          <w:rFonts w:hint="eastAsia" w:ascii="宋体" w:hAnsi="宋体" w:eastAsia="宋体" w:cs="宋体"/>
          <w:sz w:val="21"/>
          <w:szCs w:val="21"/>
        </w:rPr>
        <w:t>建筑工程施工质量评价标准（GB/T50375-2016）</w:t>
      </w:r>
    </w:p>
    <w:p>
      <w:pPr>
        <w:spacing w:line="500" w:lineRule="exact"/>
        <w:ind w:firstLine="480"/>
        <w:rPr>
          <w:rFonts w:hint="eastAsia" w:ascii="宋体" w:hAnsi="宋体" w:eastAsia="宋体" w:cs="宋体"/>
          <w:sz w:val="21"/>
          <w:szCs w:val="21"/>
        </w:rPr>
      </w:pPr>
      <w:r>
        <w:rPr>
          <w:rFonts w:hint="eastAsia" w:ascii="宋体" w:hAnsi="宋体" w:eastAsia="宋体" w:cs="宋体"/>
          <w:sz w:val="21"/>
          <w:szCs w:val="21"/>
        </w:rPr>
        <w:t>建筑工程施工质量验收统一标准（GB50300-2013）</w:t>
      </w:r>
    </w:p>
    <w:p>
      <w:pPr>
        <w:spacing w:line="500" w:lineRule="exact"/>
        <w:ind w:firstLine="480"/>
        <w:rPr>
          <w:rFonts w:hint="eastAsia" w:ascii="宋体" w:hAnsi="宋体" w:eastAsia="宋体" w:cs="宋体"/>
          <w:sz w:val="21"/>
          <w:szCs w:val="21"/>
          <w:lang w:eastAsia="zh-CN"/>
        </w:rPr>
      </w:pPr>
      <w:r>
        <w:rPr>
          <w:rFonts w:hint="eastAsia" w:ascii="宋体" w:hAnsi="宋体" w:eastAsia="宋体" w:cs="宋体"/>
          <w:sz w:val="21"/>
          <w:szCs w:val="21"/>
        </w:rPr>
        <w:t>《工程测量规范》</w:t>
      </w:r>
      <w:r>
        <w:rPr>
          <w:rFonts w:hint="eastAsia" w:ascii="宋体" w:hAnsi="宋体" w:cs="宋体"/>
          <w:sz w:val="21"/>
          <w:szCs w:val="21"/>
          <w:lang w:eastAsia="zh-CN"/>
        </w:rPr>
        <w:t>（</w:t>
      </w:r>
      <w:r>
        <w:rPr>
          <w:rFonts w:hint="eastAsia" w:ascii="宋体" w:hAnsi="宋体" w:eastAsia="宋体" w:cs="宋体"/>
          <w:sz w:val="21"/>
          <w:szCs w:val="21"/>
        </w:rPr>
        <w:t>GB50026-2007</w:t>
      </w:r>
      <w:r>
        <w:rPr>
          <w:rFonts w:hint="eastAsia" w:ascii="宋体" w:hAnsi="宋体" w:cs="宋体"/>
          <w:sz w:val="21"/>
          <w:szCs w:val="21"/>
          <w:lang w:eastAsia="zh-CN"/>
        </w:rPr>
        <w:t>）</w:t>
      </w:r>
    </w:p>
    <w:p>
      <w:pPr>
        <w:spacing w:line="500" w:lineRule="exact"/>
        <w:ind w:firstLine="480"/>
        <w:rPr>
          <w:rFonts w:hint="eastAsia" w:ascii="宋体" w:hAnsi="宋体" w:eastAsia="宋体" w:cs="宋体"/>
          <w:sz w:val="21"/>
          <w:szCs w:val="21"/>
        </w:rPr>
      </w:pPr>
      <w:r>
        <w:rPr>
          <w:rFonts w:hint="eastAsia" w:ascii="宋体" w:hAnsi="宋体" w:eastAsia="宋体" w:cs="宋体"/>
          <w:sz w:val="21"/>
          <w:szCs w:val="21"/>
        </w:rPr>
        <w:t>其它有关国家规范、规程、和试行规定等其它与本工程有关的现行工程技术、质量评定标准、施工验收标准及规范。满足《青特钢工程项目统一技术规定》、以及青特钢《施工现场安全文明标准化手册》、《建设工程项目安全管理办法》的要求。</w:t>
      </w:r>
    </w:p>
    <w:p>
      <w:pPr>
        <w:adjustRightInd w:val="0"/>
        <w:snapToGrid w:val="0"/>
        <w:spacing w:line="440" w:lineRule="exact"/>
        <w:rPr>
          <w:rFonts w:hint="eastAsia" w:ascii="宋体" w:hAnsi="宋体" w:eastAsia="宋体" w:cs="宋体"/>
          <w:b/>
          <w:kern w:val="0"/>
          <w:sz w:val="21"/>
          <w:szCs w:val="21"/>
        </w:rPr>
      </w:pPr>
      <w:r>
        <w:rPr>
          <w:rFonts w:hint="eastAsia" w:ascii="宋体" w:hAnsi="宋体" w:eastAsia="宋体" w:cs="宋体"/>
          <w:b/>
          <w:kern w:val="0"/>
          <w:sz w:val="21"/>
          <w:szCs w:val="21"/>
        </w:rPr>
        <w:t>三、现场要求</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1、工地勘察及开工手续</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承包人必须认真勘察工程</w:t>
      </w:r>
      <w:r>
        <w:rPr>
          <w:rFonts w:hint="eastAsia" w:ascii="宋体" w:hAnsi="宋体" w:eastAsia="宋体" w:cs="宋体"/>
          <w:sz w:val="21"/>
          <w:szCs w:val="21"/>
          <w:lang w:eastAsia="zh-CN"/>
        </w:rPr>
        <w:t>施工</w:t>
      </w:r>
      <w:r>
        <w:rPr>
          <w:rFonts w:hint="eastAsia" w:ascii="宋体" w:hAnsi="宋体" w:eastAsia="宋体" w:cs="宋体"/>
          <w:sz w:val="21"/>
          <w:szCs w:val="21"/>
        </w:rPr>
        <w:t>现场，使自己熟悉现场的位置、周围环境，确定工程范围和现有工地条件，</w:t>
      </w:r>
      <w:r>
        <w:rPr>
          <w:rFonts w:hint="eastAsia" w:ascii="宋体" w:hAnsi="宋体" w:eastAsia="宋体" w:cs="宋体"/>
          <w:color w:val="auto"/>
          <w:sz w:val="21"/>
          <w:szCs w:val="21"/>
        </w:rPr>
        <w:t>了解场内</w:t>
      </w:r>
      <w:r>
        <w:rPr>
          <w:rFonts w:hint="eastAsia" w:ascii="宋体" w:hAnsi="宋体" w:cs="宋体"/>
          <w:color w:val="auto"/>
          <w:sz w:val="21"/>
          <w:szCs w:val="21"/>
          <w:lang w:val="en-US" w:eastAsia="zh-CN"/>
        </w:rPr>
        <w:t>地下管线</w:t>
      </w:r>
      <w:r>
        <w:rPr>
          <w:rFonts w:hint="eastAsia" w:ascii="宋体" w:hAnsi="宋体" w:eastAsia="宋体" w:cs="宋体"/>
          <w:color w:val="auto"/>
          <w:sz w:val="21"/>
          <w:szCs w:val="21"/>
        </w:rPr>
        <w:t>等情况，以</w:t>
      </w:r>
      <w:r>
        <w:rPr>
          <w:rFonts w:hint="eastAsia" w:ascii="宋体" w:hAnsi="宋体" w:eastAsia="宋体" w:cs="宋体"/>
          <w:sz w:val="21"/>
          <w:szCs w:val="21"/>
        </w:rPr>
        <w:t>及作贮存和施工的空间、施工人员、材料等进出方位等，以便取得一切可能影响其承包造价的额外的付款或延长竣工期限的因素，对此发包人将不作任何考虑。承包人必须按规定在当地办理开工手续。</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2、清理工程现场</w:t>
      </w:r>
    </w:p>
    <w:p>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承包人须在工程开始时进行场地清理及</w:t>
      </w:r>
      <w:r>
        <w:rPr>
          <w:rFonts w:hint="eastAsia" w:ascii="宋体" w:hAnsi="宋体" w:cs="宋体"/>
          <w:color w:val="auto"/>
          <w:sz w:val="21"/>
          <w:szCs w:val="21"/>
          <w:lang w:val="en-US" w:eastAsia="zh-CN"/>
        </w:rPr>
        <w:t>临时道路修建，并道路扬尘进行撒水处理，</w:t>
      </w:r>
      <w:r>
        <w:rPr>
          <w:rFonts w:hint="eastAsia" w:ascii="宋体" w:hAnsi="宋体" w:eastAsia="宋体" w:cs="宋体"/>
          <w:color w:val="auto"/>
          <w:sz w:val="21"/>
          <w:szCs w:val="21"/>
        </w:rPr>
        <w:t>以保持施工场地整洁，文明施工。</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回填土</w:t>
      </w:r>
      <w:r>
        <w:rPr>
          <w:rFonts w:hint="eastAsia" w:ascii="宋体" w:hAnsi="宋体" w:eastAsia="宋体" w:cs="宋体"/>
          <w:sz w:val="21"/>
          <w:szCs w:val="21"/>
        </w:rPr>
        <w:t>由承包人统一拉运至青特钢东厂区</w:t>
      </w:r>
      <w:r>
        <w:rPr>
          <w:rFonts w:hint="eastAsia" w:ascii="宋体" w:hAnsi="宋体" w:eastAsia="宋体" w:cs="宋体"/>
          <w:sz w:val="21"/>
          <w:szCs w:val="21"/>
          <w:lang w:val="en-US" w:eastAsia="zh-CN"/>
        </w:rPr>
        <w:t>吹填区</w:t>
      </w:r>
      <w:r>
        <w:rPr>
          <w:rFonts w:hint="eastAsia" w:ascii="宋体" w:hAnsi="宋体" w:eastAsia="宋体" w:cs="宋体"/>
          <w:sz w:val="21"/>
          <w:szCs w:val="21"/>
          <w:lang w:eastAsia="zh-CN"/>
        </w:rPr>
        <w:t>，</w:t>
      </w:r>
      <w:r>
        <w:rPr>
          <w:rFonts w:hint="eastAsia" w:ascii="宋体" w:hAnsi="宋体" w:eastAsia="宋体" w:cs="宋体"/>
          <w:sz w:val="21"/>
          <w:szCs w:val="21"/>
        </w:rPr>
        <w:t>并保证拉运道路的清洁，如有撒漏污染路面，由承包人负责清理并按照发包人相关管理条例进行处罚。如因此给发包人造成损失（包括但不限于行政处罚及第三方索赔）的，承包人应据实赔偿。</w:t>
      </w:r>
    </w:p>
    <w:p>
      <w:pPr>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施工产生的危险废弃物必须遵守青特钢相关规定制度，由青特钢统一安排有资质的厂家做无害化处理，费用由承包人承担。</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此外，承包人必须于合同提前解除或实际完工日期后七天内将一切机械、工具、剩余材料、泥头、淤泥、废物等迁离施工场地</w:t>
      </w:r>
      <w:r>
        <w:rPr>
          <w:rFonts w:hint="eastAsia" w:ascii="宋体" w:hAnsi="宋体" w:cs="宋体"/>
          <w:sz w:val="21"/>
          <w:szCs w:val="21"/>
          <w:lang w:val="en-US" w:eastAsia="zh-CN"/>
        </w:rPr>
        <w:t>,</w:t>
      </w:r>
      <w:r>
        <w:rPr>
          <w:rFonts w:hint="eastAsia" w:ascii="宋体" w:hAnsi="宋体" w:eastAsia="宋体" w:cs="宋体"/>
          <w:sz w:val="21"/>
          <w:szCs w:val="21"/>
        </w:rPr>
        <w:t>并整理后将</w:t>
      </w:r>
      <w:bookmarkStart w:id="3" w:name="_GoBack"/>
      <w:bookmarkEnd w:id="3"/>
      <w:r>
        <w:rPr>
          <w:rFonts w:hint="eastAsia" w:ascii="宋体" w:hAnsi="宋体" w:eastAsia="宋体" w:cs="宋体"/>
          <w:sz w:val="21"/>
          <w:szCs w:val="21"/>
        </w:rPr>
        <w:t>工地交回发包人。</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3、工程现场</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承包人应根据发包人指定的范围设计及提供足够的工程现场保护和指示，包括围墙，标志牌及夜间电照明及线路，以确保对四周的行人、车辆、道路、房屋和建筑物的安全，提供足够的保障。</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施工现场必须统一采用</w:t>
      </w:r>
      <w:r>
        <w:rPr>
          <w:rFonts w:hint="eastAsia" w:ascii="宋体" w:hAnsi="宋体" w:eastAsia="宋体" w:cs="宋体"/>
          <w:sz w:val="21"/>
          <w:szCs w:val="21"/>
          <w:lang w:eastAsia="zh-CN"/>
        </w:rPr>
        <w:t>绿</w:t>
      </w:r>
      <w:r>
        <w:rPr>
          <w:rFonts w:hint="eastAsia" w:ascii="宋体" w:hAnsi="宋体" w:eastAsia="宋体" w:cs="宋体"/>
          <w:sz w:val="21"/>
          <w:szCs w:val="21"/>
        </w:rPr>
        <w:t>色</w:t>
      </w:r>
      <w:r>
        <w:rPr>
          <w:rFonts w:hint="eastAsia" w:ascii="宋体" w:hAnsi="宋体" w:eastAsia="宋体" w:cs="宋体"/>
          <w:sz w:val="21"/>
          <w:szCs w:val="21"/>
          <w:lang w:val="en-US" w:eastAsia="zh-CN"/>
        </w:rPr>
        <w:t>带环保图案</w:t>
      </w:r>
      <w:r>
        <w:rPr>
          <w:rFonts w:hint="eastAsia" w:ascii="宋体" w:hAnsi="宋体" w:eastAsia="宋体" w:cs="宋体"/>
          <w:sz w:val="21"/>
          <w:szCs w:val="21"/>
        </w:rPr>
        <w:t>彩钢瓦围挡，将生产和施工作业区进行严格分离。</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所有施工人员必须统一着装并配套反光背心，安全劳保配套到位，安全帽按照发包人要求粘贴区分标志。现场所使用的工具必须经过发包人相关部门检测鉴定后，粘贴使用标签后才能使用。在发包人指定的区域内组织施工，不允许进入生产区。同时需遵守青岛特钢及生产厂的各项规章制度。</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4、临时设施</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承包人被允许在工地现场搭设临时加工棚、料棚，但其搭设之方位与面积范围必须事先征得发包人的书面认可。承包人应对搭设及使用工棚、料棚（移动式集装箱）的安全负责；同时，承包人应于发包人要求的时间内拆除并清理现场。</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5、消防设备</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承包人将负责在施工期间提供适当的消防设备，并遵守国家和当地消防局之消防安全条例、规范和所有施工安全（包括用电等）的规定。承包人须在工程现场设置灭火器和防火标志，并对违反消防安全行为而引起的一切后果承担全部责任。</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6、卫生设施</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承包人必须保持工地现场卫生清洁，配备必要的水冲厕所、生活垃圾桶等必要的卫生设施，在工程结束后及时予以清理不得影响工程交付。</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7、工地办公室</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承包人可在发包人指定的地点搭建临时办公室，除处理本工程日常材料往来与工人缺勤之登记外，也可作为工程联系、协调及临时会议之用，一切搭建安装费用均由承包人负责，但办公室之大小、位置及内部设施等应事先得到发包人认可。同时，工地办公室搭建时，如需要任何接驳、拆离或影响现有建筑结构的服务设施等必须预先以书面形式说明理由通知发包人，并须在发包人同意和监督下进行。</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8、住宿</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施工期间发包人不允许承包人在工地区域搭建临时设施作为施工人员之住宿场所，只允许值班人员夜间留守。同时不允许使用大功率电器、煤气罐等做饭，否则，由此引发安全事故产生的责任及损失均由承包人承担。</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9、施工安全</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9.1</w:t>
      </w:r>
      <w:r>
        <w:rPr>
          <w:rFonts w:hint="eastAsia" w:ascii="宋体" w:hAnsi="宋体" w:eastAsia="宋体" w:cs="宋体"/>
          <w:sz w:val="21"/>
          <w:szCs w:val="21"/>
        </w:rPr>
        <w:t>中标单位接到中标通知书后，需与发包人签订承发包工程安全管理协议书及承发包工程环境保护管理协议书。</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9.2</w:t>
      </w:r>
      <w:r>
        <w:rPr>
          <w:rFonts w:hint="eastAsia" w:ascii="宋体" w:hAnsi="宋体" w:eastAsia="宋体" w:cs="宋体"/>
          <w:sz w:val="21"/>
          <w:szCs w:val="21"/>
        </w:rPr>
        <w:t>承包人必须严格遵守发包人《生产（施工）作业现场违章考核管理规定》《生产现场定置定位管理实施细则》等安全文明施工的相关规定制度。</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9.3</w:t>
      </w:r>
      <w:r>
        <w:rPr>
          <w:rFonts w:hint="eastAsia" w:ascii="宋体" w:hAnsi="宋体" w:eastAsia="宋体" w:cs="宋体"/>
          <w:sz w:val="21"/>
          <w:szCs w:val="21"/>
        </w:rPr>
        <w:t>承包人必须严格按国家规范安全守则进行施工，建立安全施工制度，并每日派专人负责检查工地内一切安全设施设备，以减低意外事故发生的可能性，确保工程施工无重大安全伤亡事故；一切保持工地现场安全的设施设备等费用均由承包人负责。</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.4承包人除另行签订《安全管理协议》外还要按以下安全条款执行：</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9.4.1</w:t>
      </w:r>
      <w:r>
        <w:rPr>
          <w:rFonts w:hint="eastAsia" w:ascii="宋体" w:hAnsi="宋体" w:eastAsia="宋体" w:cs="宋体"/>
          <w:sz w:val="21"/>
          <w:szCs w:val="21"/>
        </w:rPr>
        <w:t>发包人有权监督承包人落实主体管理责任；有权对承包人作业现场和作业活动进行定期安全检查；有权对施工方案中的安全措施和应急处置措施提出审核建议，并监督落实；负责对作业现场进行安全交底；有权定期组织安全会议；其他与承包人安全有关事宜。</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9.4.2</w:t>
      </w:r>
      <w:r>
        <w:rPr>
          <w:rFonts w:hint="eastAsia" w:ascii="宋体" w:hAnsi="宋体" w:eastAsia="宋体" w:cs="宋体"/>
          <w:sz w:val="21"/>
          <w:szCs w:val="21"/>
        </w:rPr>
        <w:t>承包人安全职责：承包人对其安全负主体管理责任。承包人必须遵守相关法律法规标准规范、遵守发包人的各项安全管理制度，明确安全目标及承诺要求，明确其安全机构或安全管理人员配备要求，满足安全投入要求，负责对承包人作业人员进行入厂安全培训，满足建立健全安全生产责任制要求、特种设备管理要求、特种作业人员和特种设备操作人员管理要求、风险评估和控制要求、安全教育培训要求、高风险作业管理要求、危险物品及重大危险源管理要求、职业病防治管理要求、劳动防护用品（具）配备要求、安全检查及隐患（含违章）治理要求、消防管理要求、应急管理要求、事故汇报及调查处理要求、依法缴纳工伤保险要求、分包管理要求。</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9.4.3</w:t>
      </w:r>
      <w:r>
        <w:rPr>
          <w:rFonts w:hint="eastAsia" w:ascii="宋体" w:hAnsi="宋体" w:eastAsia="宋体" w:cs="宋体"/>
          <w:sz w:val="21"/>
          <w:szCs w:val="21"/>
        </w:rPr>
        <w:t>违约责任</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包括以下内容：</w:t>
      </w:r>
    </w:p>
    <w:p>
      <w:pPr>
        <w:spacing w:line="360" w:lineRule="auto"/>
        <w:rPr>
          <w:rFonts w:hint="eastAsia" w:ascii="宋体" w:hAnsi="宋体" w:eastAsia="宋体" w:cs="宋体"/>
          <w:sz w:val="21"/>
          <w:szCs w:val="21"/>
        </w:rPr>
      </w:pPr>
      <w:r>
        <w:rPr>
          <w:rFonts w:hint="eastAsia" w:ascii="宋体" w:hAnsi="宋体" w:eastAsia="宋体" w:cs="宋体"/>
          <w:sz w:val="21"/>
          <w:szCs w:val="21"/>
        </w:rPr>
        <w:t>1）承包人未履行或履行不符合本合同规定的承包人安全职责时，应承担违约金额 5000 元/项/次。</w:t>
      </w:r>
    </w:p>
    <w:p>
      <w:pPr>
        <w:spacing w:line="360" w:lineRule="auto"/>
        <w:rPr>
          <w:rFonts w:hint="eastAsia" w:ascii="宋体" w:hAnsi="宋体" w:eastAsia="宋体" w:cs="宋体"/>
          <w:sz w:val="21"/>
          <w:szCs w:val="21"/>
        </w:rPr>
      </w:pPr>
      <w:r>
        <w:rPr>
          <w:rFonts w:hint="eastAsia" w:ascii="宋体" w:hAnsi="宋体" w:eastAsia="宋体" w:cs="宋体"/>
          <w:sz w:val="21"/>
          <w:szCs w:val="21"/>
        </w:rPr>
        <w:t>2）承包人应按照发包人《建设工程管理办法》，实施小班化管理和设立旁站安全员。发包人履行安全监管职责时，发现的承包人违章及隐患根据其性质按1000-5000 元/项扣除违约金。</w:t>
      </w:r>
    </w:p>
    <w:p>
      <w:pPr>
        <w:spacing w:line="360" w:lineRule="auto"/>
        <w:rPr>
          <w:rFonts w:hint="eastAsia" w:ascii="宋体" w:hAnsi="宋体" w:eastAsia="宋体" w:cs="宋体"/>
          <w:sz w:val="21"/>
          <w:szCs w:val="21"/>
        </w:rPr>
      </w:pPr>
      <w:r>
        <w:rPr>
          <w:rFonts w:hint="eastAsia" w:ascii="宋体" w:hAnsi="宋体" w:eastAsia="宋体" w:cs="宋体"/>
          <w:sz w:val="21"/>
          <w:szCs w:val="21"/>
        </w:rPr>
        <w:t>3）承包人在发包人工作期间发生安全事故，必须按中信泰富特钢集团《安全生产事故报告管理办法》进行调查处理。以事故调查分析报告为准，若是因为承包人或承包人人员主要责任而发生的，承包人承诺遵守如下违约处理条款：</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①工亡事故：违约金额为 30-100万元/人。</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②重伤事故：违约金额为 10-50 万元/人。</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③轻伤事故：违约金额为 3000-10000 元/人。</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④违章相关违约金1000--5000元。</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前款约定违约金范围的，发包人有权确定具体金额，承包人对此无异议。</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9.4.4</w:t>
      </w:r>
      <w:r>
        <w:rPr>
          <w:rFonts w:hint="eastAsia" w:ascii="宋体" w:hAnsi="宋体" w:eastAsia="宋体" w:cs="宋体"/>
          <w:sz w:val="21"/>
          <w:szCs w:val="21"/>
        </w:rPr>
        <w:t>承包人因现场监管失控屡次出现特种（设备）作业人员未持有有效操作证；违章指挥、强令他人进行违章冒险作业；酒后上岗及班中喝酒；高处作业不系安全带；约时送电和擅自合闸等严重违章行为的，发包人有权责令停工整顿3-7日，待整改完毕经复查合格后复工。</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9.4.5</w:t>
      </w:r>
      <w:r>
        <w:rPr>
          <w:rFonts w:hint="eastAsia" w:ascii="宋体" w:hAnsi="宋体" w:eastAsia="宋体" w:cs="宋体"/>
          <w:sz w:val="21"/>
          <w:szCs w:val="21"/>
        </w:rPr>
        <w:t>承包人必须为从事作业的职工进行体检并办理意外伤害险，并为施工场地内的自有人员及第三者人员生命财产及施工机械设备办理保险，并支付保险费用。运至施工场地内用于本工程的材料和待安装设备，由承包人办理保险，并支付保险费用。</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9.4.6</w:t>
      </w:r>
      <w:r>
        <w:rPr>
          <w:rFonts w:hint="eastAsia" w:ascii="宋体" w:hAnsi="宋体" w:eastAsia="宋体" w:cs="宋体"/>
          <w:sz w:val="21"/>
          <w:szCs w:val="21"/>
        </w:rPr>
        <w:t xml:space="preserve"> 承包方人员入厂标准</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 \* GB3 </w:instrText>
      </w:r>
      <w:r>
        <w:rPr>
          <w:rFonts w:hint="eastAsia" w:ascii="宋体" w:hAnsi="宋体" w:eastAsia="宋体" w:cs="宋体"/>
          <w:sz w:val="21"/>
          <w:szCs w:val="21"/>
        </w:rPr>
        <w:fldChar w:fldCharType="separate"/>
      </w:r>
      <w:r>
        <w:rPr>
          <w:rFonts w:hint="eastAsia" w:ascii="宋体" w:hAnsi="宋体" w:eastAsia="宋体" w:cs="宋体"/>
          <w:sz w:val="21"/>
          <w:szCs w:val="21"/>
        </w:rPr>
        <w:t>①</w:t>
      </w:r>
      <w:r>
        <w:rPr>
          <w:rFonts w:hint="eastAsia" w:ascii="宋体" w:hAnsi="宋体" w:eastAsia="宋体" w:cs="宋体"/>
          <w:sz w:val="21"/>
          <w:szCs w:val="21"/>
        </w:rPr>
        <w:fldChar w:fldCharType="end"/>
      </w:r>
      <w:r>
        <w:rPr>
          <w:rFonts w:hint="eastAsia" w:ascii="宋体" w:hAnsi="宋体" w:eastAsia="宋体" w:cs="宋体"/>
          <w:sz w:val="21"/>
          <w:szCs w:val="21"/>
        </w:rPr>
        <w:t>从业人员除技术人员和管理人员外（技术人员和管理人员应 65 周岁以下，身体健康），进入生产区域的从业人员年龄限制为：男 60 周岁以下，女 55 周岁以下。严禁招用童工。</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GB3 </w:instrText>
      </w:r>
      <w:r>
        <w:rPr>
          <w:rFonts w:hint="eastAsia" w:ascii="宋体" w:hAnsi="宋体" w:eastAsia="宋体" w:cs="宋体"/>
          <w:sz w:val="21"/>
          <w:szCs w:val="21"/>
        </w:rPr>
        <w:fldChar w:fldCharType="separate"/>
      </w:r>
      <w:r>
        <w:rPr>
          <w:rFonts w:hint="eastAsia" w:ascii="宋体" w:hAnsi="宋体" w:eastAsia="宋体" w:cs="宋体"/>
          <w:sz w:val="21"/>
          <w:szCs w:val="21"/>
        </w:rPr>
        <w:t>②</w:t>
      </w:r>
      <w:r>
        <w:rPr>
          <w:rFonts w:hint="eastAsia" w:ascii="宋体" w:hAnsi="宋体" w:eastAsia="宋体" w:cs="宋体"/>
          <w:sz w:val="21"/>
          <w:szCs w:val="21"/>
        </w:rPr>
        <w:fldChar w:fldCharType="end"/>
      </w:r>
      <w:r>
        <w:rPr>
          <w:rFonts w:hint="eastAsia" w:ascii="宋体" w:hAnsi="宋体" w:eastAsia="宋体" w:cs="宋体"/>
          <w:sz w:val="21"/>
          <w:szCs w:val="21"/>
        </w:rPr>
        <w:t>从业人员应提供县级或以上医院体检报告（半年内有效）、工伤保险或意外保险投保票据等。</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前款约定违约金范围的，发包人有权确定具体金额，承包人对此无异议。</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9.5</w:t>
      </w:r>
      <w:r>
        <w:rPr>
          <w:rFonts w:hint="eastAsia" w:ascii="宋体" w:hAnsi="宋体" w:eastAsia="宋体" w:cs="宋体"/>
          <w:sz w:val="21"/>
          <w:szCs w:val="21"/>
        </w:rPr>
        <w:t>如在项目施工过程中发生安全事故给发包人、承包人或任何第三方造成的人身伤害及财产损害的，由此产生的责任均由承包人承担，如因此给发包人造成损失（包括但不限于行政处罚及第三方索赔）的，承包人应据实赔偿。</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6承包人必须为从事作业的职工进行体检，体检合格的方可准予从事施工作业。</w:t>
      </w:r>
    </w:p>
    <w:p>
      <w:pPr>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、材料、设备进场的卸运、看护：</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本工程承包范围内所有材料、设备进场后的卸运，卸运车辆的提供，材料、设备及卸运车辆的看护、保管由乙方负责</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施工用</w:t>
      </w:r>
      <w:r>
        <w:rPr>
          <w:rFonts w:hint="eastAsia" w:ascii="宋体" w:hAnsi="宋体" w:eastAsia="宋体" w:cs="宋体"/>
          <w:color w:val="auto"/>
          <w:sz w:val="21"/>
          <w:szCs w:val="21"/>
          <w:lang w:val="en-US" w:eastAsia="zh-CN"/>
        </w:rPr>
        <w:t>吊机、登高平台等</w:t>
      </w:r>
      <w:r>
        <w:rPr>
          <w:rFonts w:hint="eastAsia" w:ascii="宋体" w:hAnsi="宋体" w:eastAsia="宋体" w:cs="宋体"/>
          <w:sz w:val="21"/>
          <w:szCs w:val="21"/>
          <w:lang w:val="en-US" w:eastAsia="zh-CN"/>
        </w:rPr>
        <w:t>由乙方负责</w:t>
      </w:r>
      <w:r>
        <w:rPr>
          <w:rFonts w:hint="eastAsia" w:ascii="宋体" w:hAnsi="宋体" w:eastAsia="宋体" w:cs="宋体"/>
          <w:sz w:val="21"/>
          <w:szCs w:val="21"/>
        </w:rPr>
        <w:t>。</w:t>
      </w:r>
    </w:p>
    <w:p>
      <w:pPr>
        <w:spacing w:line="440" w:lineRule="exact"/>
        <w:ind w:firstLine="420" w:firstLineChars="200"/>
        <w:jc w:val="left"/>
        <w:rPr>
          <w:rFonts w:hint="eastAsia" w:ascii="宋体" w:hAnsi="宋体" w:eastAsia="宋体" w:cs="宋体"/>
          <w:color w:val="auto"/>
          <w:sz w:val="21"/>
          <w:szCs w:val="21"/>
        </w:rPr>
      </w:pPr>
      <w:bookmarkStart w:id="1" w:name="_Toc2395_WPSOffice_Level2"/>
      <w:bookmarkStart w:id="2" w:name="_Toc20530_WPSOffice_Level2"/>
      <w:r>
        <w:rPr>
          <w:rFonts w:hint="eastAsia" w:ascii="宋体" w:hAnsi="宋体" w:eastAsia="宋体" w:cs="宋体"/>
          <w:color w:val="auto"/>
          <w:sz w:val="21"/>
          <w:szCs w:val="21"/>
        </w:rPr>
        <w:t>乙方所用运输车辆需全部采用新能源汽车或达到国六排放标准的汽车</w:t>
      </w:r>
      <w:r>
        <w:rPr>
          <w:rFonts w:hint="eastAsia" w:ascii="宋体" w:hAnsi="宋体" w:cs="宋体"/>
          <w:color w:val="auto"/>
          <w:sz w:val="21"/>
          <w:szCs w:val="21"/>
          <w:lang w:eastAsia="zh-CN"/>
        </w:rPr>
        <w:t>，</w:t>
      </w:r>
      <w:r>
        <w:rPr>
          <w:rFonts w:hint="eastAsia" w:ascii="宋体" w:hAnsi="宋体" w:eastAsia="宋体" w:cs="宋体"/>
          <w:color w:val="auto"/>
          <w:sz w:val="21"/>
          <w:szCs w:val="21"/>
        </w:rPr>
        <w:t>采用非道路移动机械要符合国三以上标准。</w:t>
      </w:r>
    </w:p>
    <w:p>
      <w:pPr>
        <w:spacing w:line="440" w:lineRule="exact"/>
        <w:ind w:firstLine="420" w:firstLineChars="200"/>
        <w:jc w:val="left"/>
        <w:rPr>
          <w:rFonts w:hint="eastAsia" w:ascii="宋体" w:hAnsi="宋体" w:cs="宋体"/>
          <w:color w:val="auto"/>
          <w:sz w:val="21"/>
          <w:szCs w:val="21"/>
          <w:lang w:val="en-US" w:eastAsia="zh-CN"/>
        </w:rPr>
      </w:pPr>
      <w:r>
        <w:rPr>
          <w:rFonts w:hint="eastAsia" w:ascii="宋体" w:hAnsi="宋体" w:cs="宋体"/>
          <w:color w:val="auto"/>
          <w:sz w:val="21"/>
          <w:szCs w:val="21"/>
        </w:rPr>
        <w:t>所有运输车辆必须手续齐全，在施工过程中承包人必须遵守青岛市有关土石方施工运输的管理规定</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并自行办理渣土拉运手续。</w:t>
      </w:r>
    </w:p>
    <w:p>
      <w:pPr>
        <w:spacing w:line="440" w:lineRule="exact"/>
        <w:jc w:val="left"/>
        <w:rPr>
          <w:rFonts w:hint="eastAsia" w:ascii="宋体" w:hAnsi="宋体" w:eastAsia="宋体" w:cs="宋体"/>
          <w:b/>
          <w:color w:val="auto"/>
          <w:sz w:val="21"/>
          <w:szCs w:val="21"/>
        </w:rPr>
      </w:pPr>
      <w:r>
        <w:rPr>
          <w:rFonts w:hint="eastAsia" w:ascii="宋体" w:hAnsi="宋体" w:eastAsia="宋体" w:cs="宋体"/>
          <w:b/>
          <w:color w:val="auto"/>
          <w:sz w:val="21"/>
          <w:szCs w:val="21"/>
        </w:rPr>
        <w:t>四、工程质量与验收依据</w:t>
      </w:r>
      <w:bookmarkEnd w:id="1"/>
      <w:bookmarkEnd w:id="2"/>
    </w:p>
    <w:p>
      <w:pPr>
        <w:tabs>
          <w:tab w:val="left" w:pos="900"/>
        </w:tabs>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质量要求：中标人必须严格按照设有关施工和验收规范进行施工，保证工程质量通过有关部门验收达到本工程的质量要求。所有不合格材料一律退出厂外，所发生的一切费用及损失由承包人自行负担，发包人概不负责。</w:t>
      </w:r>
    </w:p>
    <w:p>
      <w:pPr>
        <w:tabs>
          <w:tab w:val="left" w:pos="900"/>
        </w:tabs>
        <w:spacing w:line="360" w:lineRule="auto"/>
        <w:ind w:firstLine="422" w:firstLineChars="200"/>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2、验收方法：</w:t>
      </w:r>
      <w:r>
        <w:rPr>
          <w:rFonts w:hint="eastAsia" w:ascii="宋体" w:hAnsi="宋体" w:cs="宋体"/>
          <w:b/>
          <w:bCs/>
          <w:color w:val="auto"/>
          <w:kern w:val="0"/>
          <w:sz w:val="21"/>
          <w:szCs w:val="21"/>
          <w:lang w:val="en-US" w:eastAsia="zh-CN"/>
        </w:rPr>
        <w:t>土方回填整平覆盖密目网后一月内验收，平均标高达到3.6米（绝对标高）以上合格</w:t>
      </w:r>
      <w:r>
        <w:rPr>
          <w:rFonts w:hint="eastAsia" w:ascii="宋体" w:hAnsi="宋体" w:eastAsia="宋体" w:cs="宋体"/>
          <w:b/>
          <w:bCs/>
          <w:color w:val="auto"/>
          <w:kern w:val="0"/>
          <w:sz w:val="21"/>
          <w:szCs w:val="21"/>
        </w:rPr>
        <w:t>。</w:t>
      </w:r>
    </w:p>
    <w:p>
      <w:pPr>
        <w:tabs>
          <w:tab w:val="left" w:pos="900"/>
        </w:tabs>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本招标工程项目的材料、设备、施工必须达到现行中华人民共和国及省、市、行业的一切有关工程建设标准、法规、规范的要求，如标准及规范要求有出入则以较严格者为准。</w:t>
      </w:r>
    </w:p>
    <w:p>
      <w:pPr>
        <w:spacing w:line="440" w:lineRule="exact"/>
        <w:jc w:val="left"/>
        <w:rPr>
          <w:rFonts w:hint="eastAsia" w:ascii="宋体" w:hAnsi="宋体" w:eastAsia="宋体" w:cs="宋体"/>
          <w:b/>
          <w:sz w:val="21"/>
          <w:szCs w:val="21"/>
        </w:rPr>
      </w:pPr>
      <w:r>
        <w:rPr>
          <w:rFonts w:hint="eastAsia" w:ascii="宋体" w:hAnsi="宋体" w:eastAsia="宋体" w:cs="宋体"/>
          <w:b/>
          <w:sz w:val="21"/>
          <w:szCs w:val="21"/>
        </w:rPr>
        <w:t xml:space="preserve">五、 其它  </w:t>
      </w:r>
    </w:p>
    <w:p>
      <w:pPr>
        <w:spacing w:line="360" w:lineRule="auto"/>
        <w:ind w:firstLine="420" w:firstLineChars="200"/>
        <w:rPr>
          <w:rFonts w:hint="eastAsia" w:ascii="宋体" w:hAnsi="宋体" w:eastAsia="宋体" w:cs="宋体"/>
          <w:position w:val="-2"/>
          <w:sz w:val="21"/>
          <w:szCs w:val="21"/>
        </w:rPr>
      </w:pPr>
      <w:r>
        <w:rPr>
          <w:rFonts w:hint="eastAsia" w:ascii="宋体" w:hAnsi="宋体" w:eastAsia="宋体" w:cs="宋体"/>
          <w:position w:val="-2"/>
          <w:sz w:val="21"/>
          <w:szCs w:val="21"/>
        </w:rPr>
        <w:t xml:space="preserve">1.本协议作为商务合同的一部分，与商务合同具有相同的法律效力。  </w:t>
      </w:r>
    </w:p>
    <w:p>
      <w:pPr>
        <w:spacing w:line="360" w:lineRule="auto"/>
        <w:ind w:firstLine="420" w:firstLineChars="200"/>
        <w:rPr>
          <w:rFonts w:hint="eastAsia" w:ascii="宋体" w:hAnsi="宋体" w:eastAsia="宋体" w:cs="宋体"/>
          <w:position w:val="-2"/>
          <w:sz w:val="21"/>
          <w:szCs w:val="21"/>
        </w:rPr>
      </w:pPr>
      <w:r>
        <w:rPr>
          <w:rFonts w:hint="eastAsia" w:ascii="宋体" w:hAnsi="宋体" w:eastAsia="宋体" w:cs="宋体"/>
          <w:position w:val="-2"/>
          <w:sz w:val="21"/>
          <w:szCs w:val="21"/>
        </w:rPr>
        <w:t xml:space="preserve">2.上协议未尽事宜，双方本着友好合作的精神协商解决，如协商不成 则依据法律处理。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position w:val="-2"/>
          <w:sz w:val="21"/>
          <w:szCs w:val="21"/>
        </w:rPr>
        <w:t>3.本协议一式三份，发包人两份、承包人一份。</w:t>
      </w:r>
      <w:r>
        <w:rPr>
          <w:rFonts w:hint="eastAsia" w:ascii="宋体" w:hAnsi="宋体" w:eastAsia="宋体" w:cs="宋体"/>
          <w:sz w:val="21"/>
          <w:szCs w:val="21"/>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发包人：青岛特殊钢铁有限公司              承包人：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授权代表：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授权代表：</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年    月    日                    年    月     日</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sectPr>
      <w:headerReference r:id="rId3" w:type="default"/>
      <w:footerReference r:id="rId4" w:type="default"/>
      <w:footerReference r:id="rId5" w:type="even"/>
      <w:pgSz w:w="11906" w:h="16838"/>
      <w:pgMar w:top="1418" w:right="1418" w:bottom="1418" w:left="1418" w:header="284"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5686" w:y="22"/>
      <w:rPr>
        <w:rStyle w:val="10"/>
      </w:rPr>
    </w:pPr>
    <w:r>
      <w:fldChar w:fldCharType="begin"/>
    </w:r>
    <w:r>
      <w:rPr>
        <w:rStyle w:val="10"/>
      </w:rPr>
      <w:instrText xml:space="preserve">PAGE  </w:instrText>
    </w:r>
    <w:r>
      <w:fldChar w:fldCharType="separate"/>
    </w:r>
    <w:r>
      <w:rPr>
        <w:rStyle w:val="10"/>
      </w:rPr>
      <w:t>- 4 -</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fldChar w:fldCharType="begin"/>
    </w:r>
    <w:r>
      <w:rPr>
        <w:rStyle w:val="10"/>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6"/>
      </w:pBdr>
      <w:jc w:val="both"/>
    </w:pPr>
    <w:r>
      <w:drawing>
        <wp:inline distT="0" distB="0" distL="114300" distR="114300">
          <wp:extent cx="1327150" cy="419735"/>
          <wp:effectExtent l="0" t="0" r="635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27150" cy="4197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2C666"/>
    <w:multiLevelType w:val="singleLevel"/>
    <w:tmpl w:val="8642C666"/>
    <w:lvl w:ilvl="0" w:tentative="0">
      <w:start w:val="2"/>
      <w:numFmt w:val="chineseCounting"/>
      <w:suff w:val="nothing"/>
      <w:lvlText w:val="%1、"/>
      <w:lvlJc w:val="left"/>
      <w:rPr>
        <w:rFonts w:hint="eastAsia"/>
      </w:rPr>
    </w:lvl>
  </w:abstractNum>
  <w:abstractNum w:abstractNumId="1">
    <w:nsid w:val="F42207B7"/>
    <w:multiLevelType w:val="singleLevel"/>
    <w:tmpl w:val="F42207B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132661263408184640N6"/>
    <w:docVar w:name="aztPrintName" w:val="000000ESAOAPRINT"/>
    <w:docVar w:name="aztPrintType" w:val="2"/>
    <w:docVar w:name="commondata" w:val="eyJoZGlkIjoiZmVlNGZjMTIxYmRiN2ExNTViYWE4MDZiZjE3OGQ1YTYifQ=="/>
  </w:docVars>
  <w:rsids>
    <w:rsidRoot w:val="58547A1B"/>
    <w:rsid w:val="00632854"/>
    <w:rsid w:val="00957A51"/>
    <w:rsid w:val="00B73CE3"/>
    <w:rsid w:val="00CC20FD"/>
    <w:rsid w:val="00EF014F"/>
    <w:rsid w:val="02B17E9F"/>
    <w:rsid w:val="03094EF7"/>
    <w:rsid w:val="03205813"/>
    <w:rsid w:val="07FD7BDD"/>
    <w:rsid w:val="09132973"/>
    <w:rsid w:val="0961495F"/>
    <w:rsid w:val="09C156FF"/>
    <w:rsid w:val="09EA6566"/>
    <w:rsid w:val="0C701239"/>
    <w:rsid w:val="0DAB1750"/>
    <w:rsid w:val="0E5B2F25"/>
    <w:rsid w:val="0E7963A5"/>
    <w:rsid w:val="0FF15E8D"/>
    <w:rsid w:val="117636C3"/>
    <w:rsid w:val="11D912D1"/>
    <w:rsid w:val="13824654"/>
    <w:rsid w:val="138D01AB"/>
    <w:rsid w:val="14445DAD"/>
    <w:rsid w:val="14876D3E"/>
    <w:rsid w:val="151439D2"/>
    <w:rsid w:val="155D09BF"/>
    <w:rsid w:val="15CA625F"/>
    <w:rsid w:val="15E760E0"/>
    <w:rsid w:val="15F852A9"/>
    <w:rsid w:val="170770D9"/>
    <w:rsid w:val="184A6732"/>
    <w:rsid w:val="193C20C0"/>
    <w:rsid w:val="19E47193"/>
    <w:rsid w:val="1B873A3C"/>
    <w:rsid w:val="1BE80B5D"/>
    <w:rsid w:val="1BF76527"/>
    <w:rsid w:val="1C0C4DF3"/>
    <w:rsid w:val="1C2E721B"/>
    <w:rsid w:val="1E483864"/>
    <w:rsid w:val="1F082F1C"/>
    <w:rsid w:val="1F5617E7"/>
    <w:rsid w:val="1FA73130"/>
    <w:rsid w:val="213E69FC"/>
    <w:rsid w:val="216D5B4C"/>
    <w:rsid w:val="21EA0C7F"/>
    <w:rsid w:val="222748FE"/>
    <w:rsid w:val="240C3CC8"/>
    <w:rsid w:val="24B01B15"/>
    <w:rsid w:val="251F18E3"/>
    <w:rsid w:val="258C6301"/>
    <w:rsid w:val="25A97014"/>
    <w:rsid w:val="25F670AF"/>
    <w:rsid w:val="28F17DD2"/>
    <w:rsid w:val="297704F6"/>
    <w:rsid w:val="29B66504"/>
    <w:rsid w:val="2A4D3F70"/>
    <w:rsid w:val="2AC564F6"/>
    <w:rsid w:val="2BA21359"/>
    <w:rsid w:val="2BC863D1"/>
    <w:rsid w:val="2BEF61A7"/>
    <w:rsid w:val="2BF419AC"/>
    <w:rsid w:val="2D2711E4"/>
    <w:rsid w:val="2D8165B1"/>
    <w:rsid w:val="2DC078F3"/>
    <w:rsid w:val="2E0805BA"/>
    <w:rsid w:val="2EA86E76"/>
    <w:rsid w:val="2EE54406"/>
    <w:rsid w:val="335F1546"/>
    <w:rsid w:val="33864475"/>
    <w:rsid w:val="346C07C1"/>
    <w:rsid w:val="35682337"/>
    <w:rsid w:val="367D2F9D"/>
    <w:rsid w:val="371C2FFF"/>
    <w:rsid w:val="393206F4"/>
    <w:rsid w:val="398635FC"/>
    <w:rsid w:val="3991089E"/>
    <w:rsid w:val="39F17410"/>
    <w:rsid w:val="3A654365"/>
    <w:rsid w:val="3AA3791A"/>
    <w:rsid w:val="3D184BC3"/>
    <w:rsid w:val="3D6D20E1"/>
    <w:rsid w:val="40015118"/>
    <w:rsid w:val="413F333F"/>
    <w:rsid w:val="43FB160B"/>
    <w:rsid w:val="460F14C8"/>
    <w:rsid w:val="46274D44"/>
    <w:rsid w:val="4682276B"/>
    <w:rsid w:val="469912BA"/>
    <w:rsid w:val="46FB0FD8"/>
    <w:rsid w:val="470C060F"/>
    <w:rsid w:val="480A4B15"/>
    <w:rsid w:val="481C57BF"/>
    <w:rsid w:val="48480D33"/>
    <w:rsid w:val="48592ECE"/>
    <w:rsid w:val="487545FD"/>
    <w:rsid w:val="49091934"/>
    <w:rsid w:val="490B34C9"/>
    <w:rsid w:val="49163903"/>
    <w:rsid w:val="49F548C1"/>
    <w:rsid w:val="4A03228C"/>
    <w:rsid w:val="4AC565F9"/>
    <w:rsid w:val="4BBF056C"/>
    <w:rsid w:val="4D2D6EA4"/>
    <w:rsid w:val="4D441277"/>
    <w:rsid w:val="508825A3"/>
    <w:rsid w:val="50940F47"/>
    <w:rsid w:val="511261D9"/>
    <w:rsid w:val="51E4258F"/>
    <w:rsid w:val="520D5EC3"/>
    <w:rsid w:val="52586415"/>
    <w:rsid w:val="53767137"/>
    <w:rsid w:val="54560442"/>
    <w:rsid w:val="54E55115"/>
    <w:rsid w:val="554742DF"/>
    <w:rsid w:val="55BD5F4E"/>
    <w:rsid w:val="561C5443"/>
    <w:rsid w:val="570B566B"/>
    <w:rsid w:val="57292F27"/>
    <w:rsid w:val="574D2A94"/>
    <w:rsid w:val="57B56B3A"/>
    <w:rsid w:val="58547A1B"/>
    <w:rsid w:val="586760F2"/>
    <w:rsid w:val="59442622"/>
    <w:rsid w:val="59693983"/>
    <w:rsid w:val="59B358B2"/>
    <w:rsid w:val="5A80100C"/>
    <w:rsid w:val="5B10510D"/>
    <w:rsid w:val="5CB212C2"/>
    <w:rsid w:val="5D4966D0"/>
    <w:rsid w:val="5E197752"/>
    <w:rsid w:val="605D1722"/>
    <w:rsid w:val="608C52C3"/>
    <w:rsid w:val="60F84D9D"/>
    <w:rsid w:val="61295016"/>
    <w:rsid w:val="61B85301"/>
    <w:rsid w:val="621255CD"/>
    <w:rsid w:val="625E53E0"/>
    <w:rsid w:val="630F2FA5"/>
    <w:rsid w:val="63192DBF"/>
    <w:rsid w:val="633B23F5"/>
    <w:rsid w:val="64A2739D"/>
    <w:rsid w:val="65060F5C"/>
    <w:rsid w:val="65450F00"/>
    <w:rsid w:val="65B43854"/>
    <w:rsid w:val="691B3D81"/>
    <w:rsid w:val="69637D72"/>
    <w:rsid w:val="6A1507F1"/>
    <w:rsid w:val="6AA92FB7"/>
    <w:rsid w:val="6B1009D9"/>
    <w:rsid w:val="6BF934BF"/>
    <w:rsid w:val="6C74555D"/>
    <w:rsid w:val="6CF36A59"/>
    <w:rsid w:val="6D0E70B5"/>
    <w:rsid w:val="6D4949AF"/>
    <w:rsid w:val="6E216216"/>
    <w:rsid w:val="6E9059D3"/>
    <w:rsid w:val="6EA243AB"/>
    <w:rsid w:val="6F245232"/>
    <w:rsid w:val="705C79CF"/>
    <w:rsid w:val="71F9465D"/>
    <w:rsid w:val="72562FB8"/>
    <w:rsid w:val="771E7D85"/>
    <w:rsid w:val="777D690E"/>
    <w:rsid w:val="790D5FC9"/>
    <w:rsid w:val="79224A93"/>
    <w:rsid w:val="79D42365"/>
    <w:rsid w:val="7AD01BCE"/>
    <w:rsid w:val="7C835849"/>
    <w:rsid w:val="7CAE7158"/>
    <w:rsid w:val="7CB648E9"/>
    <w:rsid w:val="7CE908EF"/>
    <w:rsid w:val="7DAA2B4B"/>
    <w:rsid w:val="7E2F3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adjustRightInd w:val="0"/>
      <w:spacing w:line="420" w:lineRule="atLeast"/>
      <w:jc w:val="left"/>
      <w:textAlignment w:val="baseline"/>
    </w:pPr>
    <w:rPr>
      <w:kern w:val="0"/>
    </w:rPr>
  </w:style>
  <w:style w:type="paragraph" w:styleId="3">
    <w:name w:val="Plain Text"/>
    <w:basedOn w:val="1"/>
    <w:qFormat/>
    <w:uiPriority w:val="0"/>
    <w:rPr>
      <w:rFonts w:ascii="宋体" w:hAnsi="宋体"/>
    </w:rPr>
  </w:style>
  <w:style w:type="paragraph" w:styleId="4">
    <w:name w:val="Balloon Text"/>
    <w:basedOn w:val="1"/>
    <w:link w:val="14"/>
    <w:qFormat/>
    <w:uiPriority w:val="0"/>
    <w:rPr>
      <w:sz w:val="18"/>
      <w:szCs w:val="18"/>
    </w:rPr>
  </w:style>
  <w:style w:type="paragraph" w:styleId="5">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6">
    <w:name w:val="header"/>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10">
    <w:name w:val="page number"/>
    <w:qFormat/>
    <w:uiPriority w:val="0"/>
  </w:style>
  <w:style w:type="paragraph" w:customStyle="1" w:styleId="11">
    <w:name w:val="列出段落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3">
    <w:name w:val="List Paragraph"/>
    <w:basedOn w:val="1"/>
    <w:qFormat/>
    <w:uiPriority w:val="34"/>
    <w:pPr>
      <w:spacing w:line="360" w:lineRule="auto"/>
      <w:ind w:firstLine="420" w:firstLineChars="200"/>
    </w:pPr>
    <w:rPr>
      <w:szCs w:val="22"/>
    </w:rPr>
  </w:style>
  <w:style w:type="character" w:customStyle="1" w:styleId="14">
    <w:name w:val="批注框文本 Char"/>
    <w:basedOn w:val="9"/>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4036</Words>
  <Characters>4170</Characters>
  <Lines>44</Lines>
  <Paragraphs>12</Paragraphs>
  <TotalTime>5</TotalTime>
  <ScaleCrop>false</ScaleCrop>
  <LinksUpToDate>false</LinksUpToDate>
  <CharactersWithSpaces>4333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2019-10-23T02:24:00Z</dcterms:created>
  <dc:creator>歌舒</dc:creator>
  <cp:lastModifiedBy>peace</cp:lastModifiedBy>
  <cp:lastPrinted>2023-05-13T03:14:00Z</cp:lastPrinted>
  <dcterms:modified xsi:type="dcterms:W3CDTF">2023-08-28T04:34:13Z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740918B6805A4A94996D23D964F9BCAA</vt:lpwstr>
  </property>
</Properties>
</file>